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812186" w:rsidP="00812186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812186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 of material fact/Disclosure of insiders’ information "Quaterly report disclosure by the Issuer"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186" w:rsidRPr="00812186" w:rsidP="00812186">
            <w:pPr>
              <w:bidi w:val="0"/>
              <w:spacing w:before="240" w:after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2186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>Type of document disclosed by the issuer: Quarterly report of PJSC "IDGC of the South" for the 1st quarter of 2018.</w:t>
            </w:r>
          </w:p>
          <w:p w:rsidR="00812186" w:rsidRPr="00812186" w:rsidP="00812186">
            <w:pPr>
              <w:bidi w:val="0"/>
              <w:spacing w:before="240" w:after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2186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>Date of the issuer’s quarterly report publication in the Internet: May 15, 2018.</w:t>
            </w:r>
            <w:bookmarkStart w:id="0" w:name="_GoBack"/>
            <w:bookmarkEnd w:id="0"/>
          </w:p>
          <w:p w:rsidR="00C61195" w:rsidRPr="00C61195" w:rsidP="00812186">
            <w:pPr>
              <w:bidi w:val="0"/>
              <w:spacing w:before="240"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12186">
              <w:rPr>
                <w:rFonts w:ascii="Times New Roman" w:hAnsi="Times New Roman" w:cs="Times New Roman"/>
                <w:rtl w:val="0"/>
                <w:lang w:val="en-US"/>
              </w:rPr>
              <w:t>2.3.</w:t>
              <w:tab/>
              <w:t>Copy of the quarterly report shall be provided at the request of the interested party for a fee not exceeding the costs of making such copy.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81218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4</cp:revision>
  <dcterms:created xsi:type="dcterms:W3CDTF">2018-05-24T06:26:00Z</dcterms:created>
  <dcterms:modified xsi:type="dcterms:W3CDTF">2018-05-24T06:27:00Z</dcterms:modified>
</cp:coreProperties>
</file>